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drawing>
          <wp:inline distT="0" distB="0" distL="114300" distR="114300">
            <wp:extent cx="6631305" cy="8999855"/>
            <wp:effectExtent l="0" t="0" r="17145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31305" cy="89998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outlineLvl w:val="0"/>
        <w:rPr>
          <w:sz w:val="24"/>
        </w:rPr>
        <w:sectPr>
          <w:pgSz w:w="11906" w:h="16838"/>
          <w:pgMar w:top="1383" w:right="1800" w:bottom="1440" w:left="1519" w:header="851" w:footer="992" w:gutter="0"/>
          <w:paperSrc/>
          <w:cols w:space="0" w:num="1"/>
          <w:rtlGutter w:val="0"/>
          <w:docGrid w:type="lines" w:linePitch="312" w:charSpace="0"/>
        </w:sectPr>
      </w:pPr>
    </w:p>
    <w:p>
      <w:pPr>
        <w:spacing w:line="360" w:lineRule="auto"/>
        <w:outlineLvl w:val="0"/>
        <w:rPr>
          <w:sz w:val="24"/>
        </w:rPr>
      </w:pPr>
    </w:p>
    <w:p>
      <w:pPr>
        <w:spacing w:line="360" w:lineRule="auto"/>
        <w:outlineLvl w:val="0"/>
        <w:rPr>
          <w:sz w:val="24"/>
        </w:rPr>
      </w:pPr>
    </w:p>
    <w:p>
      <w:pPr>
        <w:spacing w:line="360" w:lineRule="auto"/>
        <w:outlineLvl w:val="0"/>
        <w:rPr>
          <w:rFonts w:eastAsia="黑体"/>
          <w:sz w:val="30"/>
          <w:szCs w:val="30"/>
        </w:rPr>
      </w:pPr>
      <w:r>
        <w:rPr>
          <w:sz w:val="24"/>
        </w:rPr>
        <w:t>附件：</w:t>
      </w:r>
    </w:p>
    <w:p>
      <w:pPr>
        <w:spacing w:line="360" w:lineRule="auto"/>
        <w:jc w:val="center"/>
        <w:outlineLvl w:val="0"/>
        <w:rPr>
          <w:rFonts w:eastAsia="黑体"/>
          <w:sz w:val="30"/>
          <w:szCs w:val="30"/>
        </w:rPr>
      </w:pPr>
    </w:p>
    <w:p>
      <w:pPr>
        <w:spacing w:line="360" w:lineRule="auto"/>
        <w:jc w:val="center"/>
        <w:outlineLvl w:val="0"/>
        <w:rPr>
          <w:rFonts w:eastAsia="黑体"/>
          <w:sz w:val="30"/>
          <w:szCs w:val="30"/>
        </w:rPr>
      </w:pPr>
    </w:p>
    <w:p>
      <w:pPr>
        <w:spacing w:line="360" w:lineRule="auto"/>
        <w:jc w:val="center"/>
        <w:outlineLvl w:val="0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2012—2016年省、部级二等奖及以上获奖情况</w:t>
      </w:r>
    </w:p>
    <w:p>
      <w:pPr>
        <w:spacing w:line="360" w:lineRule="auto"/>
        <w:jc w:val="center"/>
        <w:outlineLvl w:val="0"/>
        <w:rPr>
          <w:rFonts w:eastAsia="黑体"/>
          <w:sz w:val="30"/>
          <w:szCs w:val="30"/>
        </w:rPr>
      </w:pP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1938"/>
        <w:gridCol w:w="807"/>
        <w:gridCol w:w="1110"/>
        <w:gridCol w:w="1065"/>
        <w:gridCol w:w="1440"/>
        <w:gridCol w:w="1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" w:type="dxa"/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1938" w:type="dxa"/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获奖名称</w:t>
            </w:r>
          </w:p>
        </w:tc>
        <w:tc>
          <w:tcPr>
            <w:tcW w:w="807" w:type="dxa"/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奖励等级</w:t>
            </w:r>
          </w:p>
        </w:tc>
        <w:tc>
          <w:tcPr>
            <w:tcW w:w="1110" w:type="dxa"/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授奖部门</w:t>
            </w:r>
          </w:p>
        </w:tc>
        <w:tc>
          <w:tcPr>
            <w:tcW w:w="1065" w:type="dxa"/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获奖时间</w:t>
            </w:r>
          </w:p>
        </w:tc>
        <w:tc>
          <w:tcPr>
            <w:tcW w:w="1440" w:type="dxa"/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完成单位</w:t>
            </w:r>
          </w:p>
        </w:tc>
        <w:tc>
          <w:tcPr>
            <w:tcW w:w="1666" w:type="dxa"/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完成人员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" w:type="dxa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938" w:type="dxa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807" w:type="dxa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110" w:type="dxa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" w:type="dxa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938" w:type="dxa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807" w:type="dxa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110" w:type="dxa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" w:type="dxa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938" w:type="dxa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807" w:type="dxa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110" w:type="dxa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" w:type="dxa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938" w:type="dxa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807" w:type="dxa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110" w:type="dxa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</w:p>
        </w:tc>
      </w:tr>
    </w:tbl>
    <w:p>
      <w:pPr>
        <w:spacing w:line="480" w:lineRule="exact"/>
        <w:rPr>
          <w:rFonts w:eastAsia="楷体_GB2312"/>
          <w:sz w:val="24"/>
        </w:rPr>
      </w:pPr>
      <w:r>
        <w:rPr>
          <w:rFonts w:eastAsia="楷体_GB2312"/>
          <w:sz w:val="24"/>
        </w:rPr>
        <w:t>请在7月8日前将获奖情况汇总表发至</w:t>
      </w:r>
      <w:r>
        <w:rPr>
          <w:rFonts w:eastAsia="楷体_GB2312"/>
          <w:sz w:val="24"/>
        </w:rPr>
        <w:fldChar w:fldCharType="begin"/>
      </w:r>
      <w:r>
        <w:rPr>
          <w:rFonts w:eastAsia="楷体_GB2312"/>
          <w:sz w:val="24"/>
        </w:rPr>
        <w:instrText xml:space="preserve"> HYPERLINK "mailto:zhangbeibei513@163.com" </w:instrText>
      </w:r>
      <w:r>
        <w:rPr>
          <w:rFonts w:eastAsia="楷体_GB2312"/>
          <w:sz w:val="24"/>
        </w:rPr>
        <w:fldChar w:fldCharType="separate"/>
      </w:r>
      <w:r>
        <w:rPr>
          <w:rFonts w:eastAsia="楷体_GB2312"/>
          <w:sz w:val="24"/>
        </w:rPr>
        <w:t>18538105013@163.com</w:t>
      </w:r>
      <w:r>
        <w:rPr>
          <w:rFonts w:eastAsia="楷体_GB2312"/>
          <w:sz w:val="24"/>
        </w:rPr>
        <w:fldChar w:fldCharType="end"/>
      </w:r>
      <w:r>
        <w:rPr>
          <w:rFonts w:eastAsia="楷体_GB2312"/>
          <w:sz w:val="24"/>
        </w:rPr>
        <w:t>、</w:t>
      </w:r>
      <w:r>
        <w:rPr>
          <w:rFonts w:eastAsia="楷体_GB2312"/>
          <w:sz w:val="24"/>
        </w:rPr>
        <w:fldChar w:fldCharType="begin"/>
      </w:r>
      <w:r>
        <w:rPr>
          <w:rFonts w:eastAsia="楷体_GB2312"/>
          <w:sz w:val="24"/>
        </w:rPr>
        <w:instrText xml:space="preserve"> HYPERLINK "mailto:xinghao_zhao@163.com" </w:instrText>
      </w:r>
      <w:r>
        <w:rPr>
          <w:rFonts w:eastAsia="楷体_GB2312"/>
          <w:sz w:val="24"/>
        </w:rPr>
        <w:fldChar w:fldCharType="separate"/>
      </w:r>
      <w:r>
        <w:rPr>
          <w:rFonts w:eastAsia="楷体_GB2312"/>
          <w:sz w:val="24"/>
        </w:rPr>
        <w:t>xinghao_zhao@163.com</w:t>
      </w:r>
      <w:r>
        <w:rPr>
          <w:rFonts w:eastAsia="楷体_GB2312"/>
          <w:sz w:val="24"/>
        </w:rPr>
        <w:fldChar w:fldCharType="end"/>
      </w:r>
      <w:r>
        <w:rPr>
          <w:rFonts w:eastAsia="楷体_GB2312"/>
          <w:sz w:val="24"/>
        </w:rPr>
        <w:t>；或传真至0371-67657827。</w:t>
      </w:r>
    </w:p>
    <w:p/>
    <w:sectPr>
      <w:pgSz w:w="11906" w:h="16838"/>
      <w:pgMar w:top="1440" w:right="1800" w:bottom="1440" w:left="180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420DA8"/>
    <w:rsid w:val="3F420DA8"/>
    <w:rsid w:val="4A2664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2017-07-04T02:50:00Z</dcterms:created>
  <dc:creator>张贝贝</dc:creator>
  <cp:lastModifiedBy>张贝贝</cp:lastModifiedBy>
  <dcterms:modified xsi:type="dcterms:W3CDTF">2017-07-04T02:59:15Z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